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CN-0656 · Tax</w:t>
      </w:r>
    </w:p>
    <w:p>
      <w:pPr>
        <w:pStyle w:val="Title"/>
      </w:pPr>
      <w:r>
        <w:t xml:space="preserve">Equalisation Levy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charge on payments to foreign digital businesses, introduced in 2016 and since withdrawn in stages.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Finance Act, 2016, ch. VIII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https://fpr.iura.in/concepts/equalisation-levy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