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CN-0438 · Constitutional</w:t>
      </w:r>
    </w:p>
    <w:p>
      <w:pPr>
        <w:pStyle w:val="Title"/>
      </w:pPr>
      <w:r>
        <w:t xml:space="preserve">Equality before Law and Equal Protection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two limbs of Article 14, one negative and one positive, and how the guarantee came to forbid arbitrariness as well as discrimination.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14</w:t>
      </w:r>
    </w:p>
    <w:p>
      <w:pPr>
        <w:pStyle w:val="Bullet"/>
      </w:pPr>
      <w:r>
        <w:t xml:space="preserve">•  State of West Bengal v. Anwar Ali Sarkar, AIR 1952 SC 75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https://fpr.iura.in/concepts/equality-before-law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