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CN-0471 · Administrative</w:t>
      </w:r>
    </w:p>
    <w:p>
      <w:pPr>
        <w:pStyle w:val="Title"/>
      </w:pPr>
      <w:r>
        <w:t xml:space="preserve">Exemptions from Disclosure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categories of information a public authority may withhold, and the override where the public interest in disclosure is greater.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Information Act, 2005, §§ 8, 9, 11</w:t>
      </w:r>
    </w:p>
    <w:p>
      <w:pPr>
        <w:pStyle w:val="Bullet"/>
      </w:pPr>
      <w:r>
        <w:t xml:space="preserve">•  Central Public Information Officer, Supreme Court of India v. Subhash Chandra Agarwal, (2020) 5 SCC 481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https://fpr.iura.in/concepts/exemptions-from-disclosure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