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CN-0650 · Tax</w:t>
      </w:r>
    </w:p>
    <w:p>
      <w:pPr>
        <w:pStyle w:val="Title"/>
      </w:pPr>
      <w:r>
        <w:t xml:space="preserve">Faceless Assessment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Assessment carried out without any meeting between the officer and the taxpayer, through a national centre.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144B</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https://fpr.iura.in/concepts/faceless-assessment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