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CN-0348 · Labour</w:t>
      </w:r>
    </w:p>
    <w:p>
      <w:pPr>
        <w:pStyle w:val="Title"/>
      </w:pPr>
      <w:r>
        <w:t xml:space="preserve">Factory and Occupier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premises the Factories Act covers, and the person with ultimate control who answers for safety there.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Factories Act, 1948, §§ 2(m), 2(n)</w:t>
      </w:r>
    </w:p>
    <w:p>
      <w:pPr>
        <w:pStyle w:val="Bullet"/>
      </w:pPr>
      <w:r>
        <w:t xml:space="preserve">•  J.K. Industries Ltd. v. Chief Inspector of Factories, (1996) 6 SCC 665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https://fpr.iura.in/concepts/factory-and-occupier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