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CN-0366 · IP</w:t>
      </w:r>
    </w:p>
    <w:p>
      <w:pPr>
        <w:pStyle w:val="Title"/>
      </w:pPr>
      <w:r>
        <w:t xml:space="preserve">Farmers’ Rights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farmer’s right to save, use, sow, exchange and sell seed of a protected variety, alongside the breeder’s right.</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Protection of Plant Varieties and Farmers’ Rights Act, 2001, § 39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https://fpr.iura.in/concepts/farmers-rights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