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CN-0145 · Criminal</w:t>
      </w:r>
    </w:p>
    <w:p>
      <w:pPr>
        <w:pStyle w:val="Title"/>
      </w:pPr>
      <w:r>
        <w:t xml:space="preserve">First Information Report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first report of a cognizable offence to the police, the duty to register it, and its use as evidence at the trial.</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Criminal Procedure, 1973, § 154 (now Bharatiya Nagarik Suraksha Sanhita, 2023, § 173)</w:t>
      </w:r>
    </w:p>
    <w:p>
      <w:pPr>
        <w:pStyle w:val="Bullet"/>
      </w:pPr>
      <w:r>
        <w:t xml:space="preserve">•  Lalita Kumari v. Govt. of U.P., (2014) 2 SCC 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https://fpr.iura.in/concepts/first-information-report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