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CN-0672 · Labour</w:t>
      </w:r>
    </w:p>
    <w:p>
      <w:pPr>
        <w:pStyle w:val="Title"/>
      </w:pPr>
      <w:r>
        <w:t xml:space="preserve">Floor Wage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national minimum below which no State may fix its minimum wage, under the wage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Wages, 2019, §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https://fpr.iura.in/concepts/floor-wage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