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CN-0057 · Environment</w:t>
      </w:r>
    </w:p>
    <w:p>
      <w:pPr>
        <w:pStyle w:val="Title"/>
      </w:pPr>
      <w:r>
        <w:t xml:space="preserve">Forest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dictionary meaning adopted in 1996, which brought all forest land under the Forest Conservation Act irrespective of ownership or classification.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T.N. Godavarman Thirumulpad v. Union of India, (1997) 2 SCC 267</w:t>
      </w:r>
    </w:p>
    <w:p>
      <w:pPr>
        <w:pStyle w:val="Bullet"/>
      </w:pPr>
      <w:r>
        <w:t xml:space="preserve">•  Forest (Conservation) Act, 1980, § 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https://fpr.iura.in/concepts/forest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