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CN-0204 · Contract</w:t>
      </w:r>
    </w:p>
    <w:p>
      <w:pPr>
        <w:pStyle w:val="Title"/>
      </w:pPr>
      <w:r>
        <w:t xml:space="preserve">Fraud and Misrepresentation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false statement made knowingly and one made innocently, when silence amounts to fraud, and the remedies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17–19</w:t>
      </w:r>
    </w:p>
    <w:p>
      <w:pPr>
        <w:pStyle w:val="Bullet"/>
      </w:pPr>
      <w:r>
        <w:t xml:space="preserve">•  Derry v. Peek, (1889) 14 App Cas 337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https://fpr.iura.in/concepts/fraud-and-misrepresentation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