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CN-0439 · Constitutional</w:t>
      </w:r>
    </w:p>
    <w:p>
      <w:pPr>
        <w:pStyle w:val="Title"/>
      </w:pPr>
      <w:r>
        <w:t xml:space="preserve">Freedom of Speech and Expression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What the freedom covers, from the press to silence and symbolic acts, and the eight grounds on which it may be restricted.</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19(1)(a), (2)</w:t>
      </w:r>
    </w:p>
    <w:p>
      <w:pPr>
        <w:pStyle w:val="Bullet"/>
      </w:pPr>
      <w:r>
        <w:t xml:space="preserve">•  Romesh Thappar v. State of Madras, AIR 1950 SC 124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https://fpr.iura.in/concepts/freedom-of-speech-and-expression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