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CN-0472 · Administrative</w:t>
      </w:r>
    </w:p>
    <w:p>
      <w:pPr>
        <w:pStyle w:val="Title"/>
      </w:pPr>
      <w:r>
        <w:t xml:space="preserve">General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consent a State must give before the central investigating agency can act in its territory, and what its withdrawal does.</w:t>
      </w:r>
    </w:p>
    <w:p>
      <w:pPr>
        <w:pStyle w:val="Guidance"/>
      </w:pPr>
      <w:r>
        <w:t xml:space="preserve">Authorities to start from. These are places to begin, listed by the editors. Read each one in the original and check the citation before you rely on it.</w:t>
      </w:r>
    </w:p>
    <w:p>
      <w:pPr>
        <w:pStyle w:val="Bullet"/>
      </w:pPr>
      <w:r>
        <w:t xml:space="preserve">•  Delhi Special Police Establishment Act, 1946, § 6</w:t>
      </w:r>
    </w:p>
    <w:p>
      <w:pPr>
        <w:pStyle w:val="Bullet"/>
      </w:pPr>
      <w:r>
        <w:t xml:space="preserve">•  State of W.B. v. Committee for Protection of Democratic Rights, (2010) 3 SCC 571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https://fpr.iura.in/concepts/general-consent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