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CN-0745 · International (Public)</w:t>
      </w:r>
    </w:p>
    <w:p>
      <w:pPr>
        <w:pStyle w:val="Title"/>
      </w:pPr>
      <w:r>
        <w:t xml:space="preserve">General Exceptions in Trade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grounds, such as health and conservation, on which a State may depart from its trade obligations.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XX, Oct. 30, 1947, 55 U.N.T.S.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https://fpr.iura.in/concepts/general-exceptions-in-trade-law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