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CN-0493 · Criminal</w:t>
      </w:r>
    </w:p>
    <w:p>
      <w:pPr>
        <w:pStyle w:val="Title"/>
      </w:pPr>
      <w:r>
        <w:t xml:space="preserve">Good Faith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Code’s requirement of due care and attention, which makes good faith in criminal law stricter than honesty alone.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52 (now Bharatiya Nyaya Sanhita, 2023, § 2(11))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https://fpr.iura.in/concepts/good-faith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