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CN-0568 · Tort</w:t>
      </w:r>
    </w:p>
    <w:p>
      <w:pPr>
        <w:pStyle w:val="Title"/>
      </w:pPr>
      <w:r>
        <w:t xml:space="preserve">Good Samaritan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bystander who helps a road accident victim, and the protection from civil and criminal liability the law now gives.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Motor Vehicles Act, 1988, § 134A</w:t>
      </w:r>
    </w:p>
    <w:p>
      <w:pPr>
        <w:pStyle w:val="Bullet"/>
      </w:pPr>
      <w:r>
        <w:t xml:space="preserve">•  Savelife Foundation v. Union of India, (2016) 7 SCC 194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https://fpr.iura.in/concepts/good-samaritan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