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CN-0331 · Tax</w:t>
      </w:r>
    </w:p>
    <w:p>
      <w:pPr>
        <w:pStyle w:val="Title"/>
      </w:pPr>
      <w:r>
        <w:t xml:space="preserve">Goods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counts as goods for the purposes of taxing sales and supplies, and whether software on a disc is goods.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366(12)</w:t>
      </w:r>
    </w:p>
    <w:p>
      <w:pPr>
        <w:pStyle w:val="Bullet"/>
      </w:pPr>
      <w:r>
        <w:t xml:space="preserve">•  Tata Consultancy Services v. State of A.P., (2005) 1 SCC 308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https://fpr.iura.in/concepts/goods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