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CN-0601 · Corporate</w:t>
      </w:r>
    </w:p>
    <w:p>
      <w:pPr>
        <w:pStyle w:val="Title"/>
      </w:pPr>
      <w:r>
        <w:t xml:space="preserve">Government Company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company in which government holds at least fifty-one per cent, and the special audit regime that applies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2(45), 143(5)–(7)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https://fpr.iura.in/concepts/government-company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