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CN-0406 · International (Public)</w:t>
      </w:r>
    </w:p>
    <w:p>
      <w:pPr>
        <w:pStyle w:val="Title"/>
      </w:pPr>
      <w:r>
        <w:t xml:space="preserve">Grave Breaches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most serious violations of the Geneva Conventions, which every State must prosecute, and the Indian statute that gives effect to this.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Geneva Conventions Act, 1960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https://fpr.iura.in/concepts/grave-breaches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