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CN-0766 · Jurisprudence</w:t>
      </w:r>
    </w:p>
    <w:p>
      <w:pPr>
        <w:pStyle w:val="Title"/>
      </w:pPr>
      <w:r>
        <w:t xml:space="preserve">Hart–Fuller Debate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exchange over whether a wicked law is still law, prompted by the post-war German informer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H.L.A. Hart, Positivism and the Separation of Law and Morals, 71 Harv. L. Rev. 593 (1958)</w:t>
      </w:r>
    </w:p>
    <w:p>
      <w:pPr>
        <w:pStyle w:val="Bullet"/>
      </w:pPr>
      <w:r>
        <w:t xml:space="preserve">•  Lon L. Fuller, Positivism and Fidelity to Law, 71 Harv. L. Rev. 630 (1958)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https://fpr.iura.in/concepts/hart-fuller-debate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