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CN-0646 · Tax</w:t>
      </w:r>
    </w:p>
    <w:p>
      <w:pPr>
        <w:pStyle w:val="Title"/>
      </w:pPr>
      <w:r>
        <w:t xml:space="preserve">Heads of 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five heads under which all income is classified, each with its own rules of computation.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https://fpr.iura.in/concepts/heads-of-income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