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CN-0496 · Criminal</w:t>
      </w:r>
    </w:p>
    <w:p>
      <w:pPr>
        <w:pStyle w:val="Title"/>
      </w:pPr>
      <w:r>
        <w:t xml:space="preserve">Heinous Offence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 of offences for which a child above sixteen may be tried as an adult, and the gap in the definition the Supreme Court filled.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2(33)</w:t>
      </w:r>
    </w:p>
    <w:p>
      <w:pPr>
        <w:pStyle w:val="Bullet"/>
      </w:pPr>
      <w:r>
        <w:t xml:space="preserve">•  Shilpa Mittal v. State (NCT of Delhi), (2020) 2 SCC 787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https://fpr.iura.in/concepts/heinous-offence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