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CN-0756 · Human Rights</w:t>
      </w:r>
    </w:p>
    <w:p>
      <w:pPr>
        <w:pStyle w:val="Title"/>
      </w:pPr>
      <w:r>
        <w:t xml:space="preserve">HIV Status and Discrimination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bar on discrimination against persons living with HIV in work, care and housing, and the rule on consent to testing.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Human Immunodeficiency Virus and Acquired Immune Deficiency Syndrome (Prevention and Control) Act, 2017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https://fpr.iura.in/concepts/hiv-status-and-discrimination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