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CN-0474 · Criminal</w:t>
      </w:r>
    </w:p>
    <w:p>
      <w:pPr>
        <w:pStyle w:val="Title"/>
      </w:pPr>
      <w:r>
        <w:t xml:space="preserve">Hurt and Grievous Hurt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Bodily pain, disease or infirmity caused to another, and the listed kinds of hurt the Code treats as grievous.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319, 320 (now Bharatiya Nyaya Sanhita, 2023, §§ 114, 116)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https://fpr.iura.in/concepts/hurt-and-grievous-hurt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