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CN-0593 · Family</w:t>
      </w:r>
    </w:p>
    <w:p>
      <w:pPr>
        <w:pStyle w:val="Title"/>
      </w:pPr>
      <w:r>
        <w:t xml:space="preserve">Iddat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waiting period a Muslim woman observes after divorce or the husband’s death, and its bearing on maintenance.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Muslim Women (Protection of Rights on Divorce) Act, 1986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https://fpr.iura.in/concepts/iddat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