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CN-0236 · Property</w:t>
      </w:r>
    </w:p>
    <w:p>
      <w:pPr>
        <w:pStyle w:val="Title"/>
      </w:pPr>
      <w:r>
        <w:t xml:space="preserve">Immovable Property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counts as immovable property, including things attached to the earth and benefits arising out of land.</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3</w:t>
      </w:r>
    </w:p>
    <w:p>
      <w:pPr>
        <w:pStyle w:val="Bullet"/>
      </w:pPr>
      <w:r>
        <w:t xml:space="preserve">•  General Clauses Act, 1897, § 3(26)</w:t>
      </w:r>
    </w:p>
    <w:p>
      <w:pPr>
        <w:pStyle w:val="Bullet"/>
      </w:pPr>
      <w:r>
        <w:t xml:space="preserve">•  Shantabai v. State of Bombay, AIR 1958 SC 532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https://fpr.iura.in/concepts/immovable-property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