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CN-0043 · Tax</w:t>
      </w:r>
    </w:p>
    <w:p>
      <w:pPr>
        <w:pStyle w:val="Title"/>
      </w:pPr>
      <w:r>
        <w:t xml:space="preserve">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inclusive definition in the Income-tax Act, the capital and revenue divide, and receipts that fall outside.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2(24)</w:t>
      </w:r>
    </w:p>
    <w:p>
      <w:pPr>
        <w:pStyle w:val="Bullet"/>
      </w:pPr>
      <w:r>
        <w:t xml:space="preserve">•  CIT v. G.R. Karthikeyan, 1993 Supp (3) SCC 222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