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CN-0276 · Corporate</w:t>
      </w:r>
    </w:p>
    <w:p>
      <w:pPr>
        <w:pStyle w:val="Title"/>
      </w:pPr>
      <w:r>
        <w:t xml:space="preserve">Independent Director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director with no material link to the company or its promoters, the tests of independence, and the role the Act gives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149(6) and Schedule IV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https://fpr.iura.in/concepts/independent-director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