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CN-0185 · Civil Procedure</w:t>
      </w:r>
    </w:p>
    <w:p>
      <w:pPr>
        <w:pStyle w:val="Title"/>
      </w:pPr>
      <w:r>
        <w:t xml:space="preserve">Inherent Powers of a Civil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to make orders needed for the ends of justice, and why it cannot be used against an express provision of the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151</w:t>
      </w:r>
    </w:p>
    <w:p>
      <w:pPr>
        <w:pStyle w:val="Bullet"/>
      </w:pPr>
      <w:r>
        <w:t xml:space="preserve">•  Manohar Lal Chopra v. Rai Bahadur Rao Raja Seth Hiralal, AIR 1962 SC 527</w:t>
      </w:r>
    </w:p>
    <w:p>
      <w:pPr>
        <w:pStyle w:val="Bullet"/>
      </w:pPr>
      <w:r>
        <w:t xml:space="preserve">•  K.K. Velusamy v. N. Palanisamy, (2011) 11 SCC 275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https://fpr.iura.in/concepts/inherent-powers-of-a-civil-court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