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CN-0307 · Securities</w:t>
      </w:r>
    </w:p>
    <w:p>
      <w:pPr>
        <w:pStyle w:val="Title"/>
      </w:pPr>
      <w:r>
        <w:t xml:space="preserve">Insider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connected to a company or holding its unpublished price-sensitive information, and why possession alone is enough.</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Insider Trading) Regulations, 2015, reg. 2(1)(g)</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https://fpr.iura.in/concepts/insider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