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CN-0435 · Legal History</w:t>
      </w:r>
    </w:p>
    <w:p>
      <w:pPr>
        <w:pStyle w:val="Title"/>
      </w:pPr>
      <w:r>
        <w:t xml:space="preserve">Instrument of Accession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document by which a princely State joined the Dominion, and the subjects on which it accepted the Dominion’s authority.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Government of India Act, 1935, § 6</w:t>
      </w:r>
    </w:p>
    <w:p>
      <w:pPr>
        <w:pStyle w:val="Bullet"/>
      </w:pPr>
      <w:r>
        <w:t xml:space="preserve">•  Indian Independence Act, 1947, 10 &amp; 11 Geo. 6, c. 30, § 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https://fpr.iura.in/concepts/instrument-of-accession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