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CN-0668 · Labour</w:t>
      </w:r>
    </w:p>
    <w:p>
      <w:pPr>
        <w:pStyle w:val="Title"/>
      </w:pPr>
      <w:r>
        <w:t xml:space="preserve">Inter-State Migrant Workman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worker recruited in one State for work in another, and the allowances and facilities owed.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Inter-State Migrant Workmen (Regulation of Employment and Conditions of Service) Act, 1979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https://fpr.iura.in/concepts/inter-state-migrant-workman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