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CN-0673 · Labour</w:t>
      </w:r>
    </w:p>
    <w:p>
      <w:pPr>
        <w:pStyle w:val="Title"/>
      </w:pPr>
      <w:r>
        <w:t xml:space="preserve">Internal Committee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every employer must set up to hear complaints of sexual harassment, and how it conducts an inquiry.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Sexual Harassment of Women at Workplace (Prevention, Prohibition and Redressal) Act, 2013, §§ 4,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https://fpr.iura.in/concepts/internal-committee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