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CN-0052 · IP</w:t>
      </w:r>
    </w:p>
    <w:p>
      <w:pPr>
        <w:pStyle w:val="Title"/>
      </w:pPr>
      <w:r>
        <w:t xml:space="preserve">Inventive Step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an invention non-obvious to a person skilled in the art, and how Indian courts test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2(1)(ja)</w:t>
      </w:r>
    </w:p>
    <w:p>
      <w:pPr>
        <w:pStyle w:val="Bullet"/>
      </w:pPr>
      <w:r>
        <w:t xml:space="preserve">•  Bishwanath Prasad Radhey Shyam v. Hindustan Metal Industries, (1979) 2 SCC 511</w:t>
      </w:r>
    </w:p>
    <w:p>
      <w:pPr>
        <w:pStyle w:val="Bullet"/>
      </w:pPr>
      <w:r>
        <w:t xml:space="preserve">•  F. Hoffmann-La Roche Ltd. v. Cipla Ltd., 2015 SCC OnLine Del 13619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https://fpr.iura.in/concepts/inventive-step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