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CN-0200 · Civil Procedure</w:t>
      </w:r>
    </w:p>
    <w:p>
      <w:pPr>
        <w:pStyle w:val="Title"/>
      </w:pPr>
      <w:r>
        <w:t xml:space="preserve">Jurisdiction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to sue in one of several competent courts, why it cannot give jurisdiction to a court that has none, and how words of exclusion are read.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A.B.C. Laminart (P) Ltd. v. A.P. Agencies, (1989) 2 SCC 163</w:t>
      </w:r>
    </w:p>
    <w:p>
      <w:pPr>
        <w:pStyle w:val="Bullet"/>
      </w:pPr>
      <w:r>
        <w:t xml:space="preserve">•  Swastik Gases (P) Ltd. v. Indian Oil Corpn. Ltd., (2013) 9 SCC 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https://fpr.iura.in/concepts/jurisdiction-clause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