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CN-0731 · International (Public)</w:t>
      </w:r>
    </w:p>
    <w:p>
      <w:pPr>
        <w:pStyle w:val="Title"/>
      </w:pPr>
      <w:r>
        <w:t xml:space="preserve">Jurisdiction of States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bases on which a State may apply its law: territory, nationality, protection and universality.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S.S. Lotus (Fr. v. Turk.), 1927 P.C.I.J. (ser. A) No.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https://fpr.iura.in/concepts/jurisdiction-of-states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