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CN-0013 · Civil Procedure</w:t>
      </w:r>
    </w:p>
    <w:p>
      <w:pPr>
        <w:pStyle w:val="Title"/>
      </w:pPr>
      <w:r>
        <w:t xml:space="preserve">Jurisdiction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Territorial, pecuniary and subject-matter jurisdiction; the difference between lacking jurisdiction and exercising it wrongly; and when objection is waived.</w:t>
      </w:r>
    </w:p>
    <w:p>
      <w:pPr>
        <w:pStyle w:val="Guidance"/>
      </w:pPr>
      <w:r>
        <w:t xml:space="preserve">Authorities to start from. These are places to begin, listed by the editors. Read each one in the original and check the citation before you rely on it.</w:t>
      </w:r>
    </w:p>
    <w:p>
      <w:pPr>
        <w:pStyle w:val="Bullet"/>
      </w:pPr>
      <w:r>
        <w:t xml:space="preserve">•  Kiran Singh v. Chaman Paswan, AIR 1954 SC 340</w:t>
      </w:r>
    </w:p>
    <w:p>
      <w:pPr>
        <w:pStyle w:val="Bullet"/>
      </w:pPr>
      <w:r>
        <w:t xml:space="preserve">•  Code of Civil Procedure, 1908, §§ 9, 15–21</w:t>
      </w:r>
    </w:p>
    <w:p>
      <w:pPr>
        <w:pStyle w:val="Bullet"/>
      </w:pPr>
      <w:r>
        <w:t xml:space="preserve">•  Dhulabhai v. State of M.P., AIR 1969 SC 78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https://fpr.iura.in/concepts/jurisdiction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