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CN-0583 · Property</w:t>
      </w:r>
    </w:p>
    <w:p>
      <w:pPr>
        <w:pStyle w:val="Title"/>
      </w:pPr>
      <w:r>
        <w:t xml:space="preserve">Kinds of Legacy</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Specific, demonstrative and general bequests, and why the classification decides which abate first.</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Indian Succession Act, 1925, §§ 142–151</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https://fpr.iura.in/concepts/kinds-of-legacy</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