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CN-0060 · Jurisprudence</w:t>
      </w:r>
    </w:p>
    <w:p>
      <w:pPr>
        <w:pStyle w:val="Title"/>
      </w:pPr>
      <w:r>
        <w:t xml:space="preserve">Right, Duty, Liberty and Power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Hohfeld’s analysis of what "a right" can mean, and how Indian courts use the distinctions in practice.</w:t>
      </w:r>
    </w:p>
    <w:p>
      <w:pPr>
        <w:pStyle w:val="Guidance"/>
      </w:pPr>
      <w:r>
        <w:t xml:space="preserve">Authorities to start from. These are places to begin, listed by the editors. Read each one in the original and check the citation before you rely on it.</w:t>
      </w:r>
    </w:p>
    <w:p>
      <w:pPr>
        <w:pStyle w:val="Bullet"/>
      </w:pPr>
      <w:r>
        <w:t xml:space="preserve">•  Wesley Newcomb Hohfeld, Some Fundamental Legal Conceptions as Applied in Judicial Reasoning, 23 Yale L.J. 16 (1913)</w:t>
      </w:r>
    </w:p>
    <w:p>
      <w:pPr>
        <w:pStyle w:val="Bullet"/>
      </w:pPr>
      <w:r>
        <w:t xml:space="preserve">•  State of Rajasthan v. Union of India, (1977) 3 SCC 592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https://fpr.iura.in/concepts/legal-right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