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CN-0570 · Tort</w:t>
      </w:r>
    </w:p>
    <w:p>
      <w:pPr>
        <w:pStyle w:val="Title"/>
      </w:pPr>
      <w:r>
        <w:t xml:space="preserve">Libel and Slander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Defamation in permanent and in passing form, and why Indian law does not require proof of special damage for either.</w:t>
      </w:r>
    </w:p>
    <w:p>
      <w:pPr>
        <w:pStyle w:val="Guidance"/>
      </w:pPr>
      <w:r>
        <w:t xml:space="preserve">Authorities to start from. These are places to begin, listed by the editors. Read each one in the original and check the citation before you rely on it.</w:t>
      </w:r>
    </w:p>
    <w:p>
      <w:pPr>
        <w:pStyle w:val="Bullet"/>
      </w:pPr>
      <w:r>
        <w:t xml:space="preserve">•  D.P. Choudhary v. Kumari Manjulata, AIR 1997 Raj 170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https://fpr.iura.in/concepts/libel-and-slander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