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CN-0341 · Labour</w:t>
      </w:r>
    </w:p>
    <w:p>
      <w:pPr>
        <w:pStyle w:val="Title"/>
      </w:pPr>
      <w:r>
        <w:t xml:space="preserve">Lock-Out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employer’s counterpart to a strike, when it is illegal, and whether wages are due for the period.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Industrial Disputes Act, 1947, §§ 2(l), 22–24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https://fpr.iura.in/concepts/lock-out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