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CN-0012 · Constitutional</w:t>
      </w:r>
    </w:p>
    <w:p>
      <w:pPr>
        <w:pStyle w:val="Title"/>
      </w:pPr>
      <w:r>
        <w:t xml:space="preserve">Locus Standi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may move the court. The relaxation of standing for public interest litigation and the checks later added against abuse.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Gupta v. Union of India, 1981 Supp SCC 87</w:t>
      </w:r>
    </w:p>
    <w:p>
      <w:pPr>
        <w:pStyle w:val="Bullet"/>
      </w:pPr>
      <w:r>
        <w:t xml:space="preserve">•  Bandhua Mukti Morcha v. Union of India, (1984) 3 SCC 161</w:t>
      </w:r>
    </w:p>
    <w:p>
      <w:pPr>
        <w:pStyle w:val="Bullet"/>
      </w:pPr>
      <w:r>
        <w:t xml:space="preserve">•  State of Uttaranchal v. Balwant Singh Chaufal, (2010) 3 SCC 402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https://fpr.iura.in/concepts/locus-standi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