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CN-0122 · Administrative</w:t>
      </w:r>
    </w:p>
    <w:p>
      <w:pPr>
        <w:pStyle w:val="Title"/>
      </w:pPr>
      <w:r>
        <w:t xml:space="preserve">Lokpal and Lokayukta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anti-corruption ombudsman for the Union and for the States: who may be investigated, by whom, and with what powers.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Lokpal and Lokayuktas Act, 2013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https://fpr.iura.in/concepts/lokpal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