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CN-0120 · Administrative</w:t>
      </w:r>
    </w:p>
    <w:p>
      <w:pPr>
        <w:pStyle w:val="Title"/>
      </w:pPr>
      <w:r>
        <w:t xml:space="preserve">Mala Fides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Bad faith in the use of a public power, the difference between malice in fact and malice in law, and how it is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 Partap Singh v. State of Punjab, AIR 1964 SC 72</w:t>
      </w:r>
    </w:p>
    <w:p>
      <w:pPr>
        <w:pStyle w:val="Bullet"/>
      </w:pPr>
      <w:r>
        <w:t xml:space="preserve">•  E.P. Royappa v. State of T.N., (1974) 4 SCC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https://fpr.iura.in/concepts/mala-fides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