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CN-0495 · Criminal</w:t>
      </w:r>
    </w:p>
    <w:p>
      <w:pPr>
        <w:pStyle w:val="Title"/>
      </w:pPr>
      <w:r>
        <w:t xml:space="preserve">Mandatory Reporting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any person who knows of a sexual offence against a child to report it, and the penalty for silence.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Children from Sexual Offences Act, 2012, §§ 19,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https://fpr.iura.in/concepts/mandatory-reporting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