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CN-0416 · Human Rights</w:t>
      </w:r>
    </w:p>
    <w:p>
      <w:pPr>
        <w:pStyle w:val="Title"/>
      </w:pPr>
      <w:r>
        <w:t xml:space="preserve">Manual Scavenging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prohibited practice of cleaning human waste by hand, the duty to rehabilitate, and compensation for sewer deaths.</w:t>
      </w:r>
    </w:p>
    <w:p>
      <w:pPr>
        <w:pStyle w:val="Guidance"/>
      </w:pPr>
      <w:r>
        <w:t xml:space="preserve">Authorities to start from. These are places to begin, listed by the editors. Read each one in the original and check the citation before you rely on it.</w:t>
      </w:r>
    </w:p>
    <w:p>
      <w:pPr>
        <w:pStyle w:val="Bullet"/>
      </w:pPr>
      <w:r>
        <w:t xml:space="preserve">•  Prohibition of Employment as Manual Scavengers and their Rehabilitation Act, 2013</w:t>
      </w:r>
    </w:p>
    <w:p>
      <w:pPr>
        <w:pStyle w:val="Bullet"/>
      </w:pPr>
      <w:r>
        <w:t xml:space="preserve">•  Safai Karamchari Andolan v. Union of India, (2014) 11 SCC 224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https://fpr.iura.in/concepts/manual-scavenging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