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Meta"/>
      </w:pPr>
      <w:r>
        <w:t xml:space="preserve">FPR · Concept · CN-0637 · Securities</w:t>
      </w:r>
    </w:p>
    <w:p>
      <w:pPr>
        <w:pStyle w:val="Title"/>
      </w:pPr>
      <w:r>
        <w:t xml:space="preserve">Market Intermediary</w:t>
      </w:r>
    </w:p>
    <w:p>
      <w:pPr>
        <w:pStyle w:val="Guidance"/>
      </w:pPr>
      <w:r>
        <w:t xml:space="preserve">This is the FPR writer’s kit for this entry. The grey notes tell you what goes where. Delete them, and this paragraph, before you submit.</w:t>
      </w:r>
    </w:p>
    <w:p>
      <w:pPr>
        <w:pStyle w:val="Heading1"/>
      </w:pPr>
      <w:r>
        <w:t xml:space="preserve">Thesis</w:t>
      </w:r>
    </w:p>
    <w:p>
      <w:pPr>
        <w:pStyle w:val="Guidance"/>
      </w:pPr>
      <w:r>
        <w:t xml:space="preserve">One sentence. It is set in large type at the top of your piece. If you cannot put your point in one sentence, the piece is not ready.</w:t>
      </w:r>
    </w:p>
    <w:p/>
    <w:p>
      <w:pPr>
        <w:pStyle w:val="Heading1"/>
      </w:pPr>
      <w:r>
        <w:t xml:space="preserve">Abstract</w:t>
      </w:r>
    </w:p>
    <w:p>
      <w:pPr>
        <w:pStyle w:val="Guidance"/>
      </w:pPr>
      <w:r>
        <w:t xml:space="preserve">About a hundred words: the question, how you went about it, and what you conclude.</w:t>
      </w:r>
    </w:p>
    <w:p/>
    <w:p>
      <w:pPr>
        <w:pStyle w:val="Heading1"/>
      </w:pPr>
      <w:r>
        <w:t xml:space="preserve">What the term means</w:t>
      </w:r>
    </w:p>
    <w:p>
      <w:pPr>
        <w:pStyle w:val="Guidance"/>
      </w:pPr>
      <w:r>
        <w:t xml:space="preserve">Define it in your own words first, then give the statutory or judicial definition.</w:t>
      </w:r>
    </w:p>
    <w:p/>
    <w:p>
      <w:pPr>
        <w:pStyle w:val="Heading1"/>
      </w:pPr>
      <w:r>
        <w:t xml:space="preserve">Where it comes from</w:t>
      </w:r>
    </w:p>
    <w:p>
      <w:pPr>
        <w:pStyle w:val="Guidance"/>
      </w:pPr>
      <w:r>
        <w:t xml:space="preserve">The provision, case or older law in which the term first appears.</w:t>
      </w:r>
    </w:p>
    <w:p/>
    <w:p>
      <w:pPr>
        <w:pStyle w:val="Heading1"/>
      </w:pPr>
      <w:r>
        <w:t xml:space="preserve">How courts use it</w:t>
      </w:r>
    </w:p>
    <w:p>
      <w:pPr>
        <w:pStyle w:val="Guidance"/>
      </w:pPr>
      <w:r>
        <w:t xml:space="preserve">The leading cases, in order, with what each one added.</w:t>
      </w:r>
    </w:p>
    <w:p/>
    <w:p>
      <w:pPr>
        <w:pStyle w:val="Heading1"/>
      </w:pPr>
      <w:r>
        <w:t xml:space="preserve">Where its edges are</w:t>
      </w:r>
    </w:p>
    <w:p>
      <w:pPr>
        <w:pStyle w:val="Guidance"/>
      </w:pPr>
      <w:r>
        <w:t xml:space="preserve">What falls just inside the term and just outside it.</w:t>
      </w:r>
    </w:p>
    <w:p/>
    <w:p>
      <w:pPr>
        <w:pStyle w:val="Heading1"/>
      </w:pPr>
      <w:r>
        <w:t xml:space="preserve">What is unsettled</w:t>
      </w:r>
    </w:p>
    <w:p>
      <w:pPr>
        <w:pStyle w:val="Guidance"/>
      </w:pPr>
      <w:r>
        <w:t xml:space="preserve">Questions the courts have left open or answered in more than one way.</w:t>
      </w:r>
    </w:p>
    <w:p/>
    <w:p>
      <w:pPr>
        <w:pStyle w:val="Heading1"/>
      </w:pPr>
      <w:r>
        <w:t xml:space="preserve">Notes for the writer (delete before submitting)</w:t>
      </w:r>
    </w:p>
    <w:p>
      <w:pPr>
        <w:pStyle w:val="Guidance"/>
      </w:pPr>
      <w:r>
        <w:t xml:space="preserve">Scope of this entry. Brokers, bankers, registrars and others who may act in the market only with the regulator’s registration.</w:t>
      </w:r>
    </w:p>
    <w:p>
      <w:pPr>
        <w:pStyle w:val="Guidance"/>
      </w:pPr>
      <w:r>
        <w:t xml:space="preserve">Authorities to start from. These are places to begin, listed by the editors. Read each one in the original and check the citation before you rely on it.</w:t>
      </w:r>
    </w:p>
    <w:p>
      <w:pPr>
        <w:pStyle w:val="Bullet"/>
      </w:pPr>
      <w:r>
        <w:t xml:space="preserve">•  Securities and Exchange Board of India Act, 1992, § 12</w:t>
      </w:r>
    </w:p>
    <w:p>
      <w:pPr>
        <w:pStyle w:val="Guidance"/>
      </w:pPr>
      <w:r>
        <w:t xml:space="preserve">Length. At least 2,000 words if you are in year 1 or 2, and at least 3,000 from year 3 on. Footnotes do not count.</w:t>
      </w:r>
    </w:p>
    <w:p>
      <w:pPr>
        <w:pStyle w:val="Guidance"/>
      </w:pPr>
      <w:r>
        <w:t xml:space="preserve">Citations. Bluebook, each one in a footnote (References, Insert Footnote). Cite the judgment or the statute itself, with a pinpoint, not a commentary on it.</w:t>
      </w:r>
    </w:p>
    <w:p>
      <w:pPr>
        <w:pStyle w:val="Guidance"/>
      </w:pPr>
      <w:r>
        <w:t xml:space="preserve">Your own prose. You may use AI tools to find and search sources. The writing must be yours, and you will be asked how you used any tool when you submit.</w:t>
      </w:r>
    </w:p>
    <w:p>
      <w:pPr>
        <w:pStyle w:val="Guidance"/>
      </w:pPr>
      <w:r>
        <w:t xml:space="preserve">Submit at https://fpr.iura.in/submit after claiming the entry at https://fpr.iura.in/concepts/market-intermediary</w:t>
      </w:r>
    </w:p>
    <w:sectPr>
      <w:pgSz w:w="11906" w:h="16838"/>
      <w:pgMar w:top="1440" w:right="1440" w:bottom="1440" w:left="1440" w:header="708" w:footer="708" w:gutter="0"/>
    </w:sectPr>
  </w:body>
</w:document>
</file>

<file path=word/styles.xml><?xml version="1.0" encoding="utf-8"?>
<w:styles xmlns:w="http://schemas.openxmlformats.org/wordprocessingml/2006/main">
  <w:docDefaults>
    <w:rPrDefault>
      <w:rPr>
        <w:rFonts w:ascii="Times New Roman" w:hAnsi="Times New Roman" w:cs="Times New Roman"/>
        <w:sz w:val="24"/>
        <w:lang w:val="en-IN"/>
      </w:rPr>
    </w:rPrDefault>
    <w:pPrDefault>
      <w:pPr>
        <w:spacing w:after="160" w:line="360" w:lineRule="auto"/>
      </w:pPr>
    </w:pPrDefault>
  </w:docDefaults>
  <w:style w:type="paragraph" w:default="1" w:styleId="Normal">
    <w:name w:val="Normal"/>
  </w:style>
  <w:style w:type="paragraph" w:styleId="Title">
    <w:name w:val="Title"/>
    <w:basedOn w:val="Normal"/>
    <w:next w:val="Normal"/>
    <w:pPr>
      <w:spacing w:after="120" w:line="240" w:lineRule="auto"/>
    </w:pPr>
    <w:rPr>
      <w:sz w:val="52"/>
    </w:rPr>
  </w:style>
  <w:style w:type="paragraph" w:styleId="Heading1">
    <w:name w:val="heading 1"/>
    <w:basedOn w:val="Normal"/>
    <w:next w:val="Normal"/>
    <w:pPr>
      <w:keepNext/>
      <w:spacing w:before="360" w:after="120" w:line="240" w:lineRule="auto"/>
      <w:outlineLvl w:val="0"/>
    </w:pPr>
    <w:rPr>
      <w:b/>
      <w:sz w:val="28"/>
    </w:rPr>
  </w:style>
  <w:style w:type="paragraph" w:styleId="Meta">
    <w:name w:val="Meta"/>
    <w:basedOn w:val="Normal"/>
    <w:pPr>
      <w:spacing w:after="80" w:line="240" w:lineRule="auto"/>
    </w:pPr>
    <w:rPr>
      <w:rFonts w:ascii="Courier New" w:hAnsi="Courier New" w:cs="Courier New"/>
      <w:sz w:val="18"/>
    </w:rPr>
  </w:style>
  <w:style w:type="paragraph" w:styleId="Guidance">
    <w:name w:val="Guidance"/>
    <w:basedOn w:val="Normal"/>
    <w:pPr>
      <w:spacing w:after="120" w:line="276" w:lineRule="auto"/>
    </w:pPr>
    <w:rPr>
      <w:i/>
      <w:color w:val="7A7A7A"/>
      <w:sz w:val="22"/>
    </w:rPr>
  </w:style>
  <w:style w:type="paragraph" w:styleId="Bullet">
    <w:name w:val="Bullet"/>
    <w:basedOn w:val="Normal"/>
    <w:pPr>
      <w:spacing w:after="60" w:line="276" w:lineRule="auto"/>
      <w:ind w:left="360" w:hanging="360"/>
    </w:pPr>
    <w:rPr>
      <w:sz w:val="22"/>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s>
</file>