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CN-0466 · Constitutional</w:t>
      </w:r>
    </w:p>
    <w:p>
      <w:pPr>
        <w:pStyle w:val="Title"/>
      </w:pPr>
      <w:r>
        <w:t xml:space="preserve">Master of the Roster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Chief Justice’s sole authority to constitute benches and allot cases, and the challenge to how it is exercised.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Prakash Chand, (1998) 1 SCC 1</w:t>
      </w:r>
    </w:p>
    <w:p>
      <w:pPr>
        <w:pStyle w:val="Bullet"/>
      </w:pPr>
      <w:r>
        <w:t xml:space="preserve">•  Shanti Bhushan v. Supreme Court of India, (2018) 8 SCC 396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https://fpr.iura.in/concepts/master-of-the-roster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