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CN-0629 · Competition</w:t>
      </w:r>
    </w:p>
    <w:p>
      <w:pPr>
        <w:pStyle w:val="Title"/>
      </w:pPr>
      <w:r>
        <w:t xml:space="preserve">Material Influence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lowest level of control that makes an acquisition notifiable, written into the Act in 2023.</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5, Explanation</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https://fpr.iura.in/concepts/material-influence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