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CN-0349 · Labour</w:t>
      </w:r>
    </w:p>
    <w:p>
      <w:pPr>
        <w:pStyle w:val="Title"/>
      </w:pPr>
      <w:r>
        <w:t xml:space="preserve">Maternity Benefit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Paid leave and protection from dismissal around childbirth, and its extension to women on casual and daily-wage terms.</w:t>
      </w:r>
    </w:p>
    <w:p>
      <w:pPr>
        <w:pStyle w:val="Guidance"/>
      </w:pPr>
      <w:r>
        <w:t xml:space="preserve">Authorities to start from. These are places to begin, listed by the editors. Read each one in the original and check the citation before you rely on it.</w:t>
      </w:r>
    </w:p>
    <w:p>
      <w:pPr>
        <w:pStyle w:val="Bullet"/>
      </w:pPr>
      <w:r>
        <w:t xml:space="preserve">•  Maternity Benefit Act, 1961</w:t>
      </w:r>
    </w:p>
    <w:p>
      <w:pPr>
        <w:pStyle w:val="Bullet"/>
      </w:pPr>
      <w:r>
        <w:t xml:space="preserve">•  Municipal Corpn. of Delhi v. Female Workers (Muster Roll), (2000) 3 SCC 224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https://fpr.iura.in/concepts/maternity-benefit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