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CN-0036 · Family</w:t>
      </w:r>
    </w:p>
    <w:p>
      <w:pPr>
        <w:pStyle w:val="Title"/>
      </w:pPr>
      <w:r>
        <w:t xml:space="preserve">Cruelty in Matrimonial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conduct counts as cruelty for divorce: physical and mental cruelty, the standard of proof, and why no fixed definition is attempted.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N.G. Dastane v. S. Dastane, (1975) 2 SCC 326</w:t>
      </w:r>
    </w:p>
    <w:p>
      <w:pPr>
        <w:pStyle w:val="Bullet"/>
      </w:pPr>
      <w:r>
        <w:t xml:space="preserve">•  Samar Ghosh v. Jaya Ghosh, (2007) 4 SCC 511</w:t>
      </w:r>
    </w:p>
    <w:p>
      <w:pPr>
        <w:pStyle w:val="Bullet"/>
      </w:pPr>
      <w:r>
        <w:t xml:space="preserve">•  Hindu Marriage Act, 1955, § 13(1)(ia)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https://fpr.iura.in/concepts/matrimonial-cruelty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